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7A88" w14:textId="77777777" w:rsidR="007765EA" w:rsidRPr="007765EA" w:rsidRDefault="007765EA" w:rsidP="007765EA">
      <w:pPr>
        <w:widowControl/>
        <w:jc w:val="center"/>
        <w:rPr>
          <w:rFonts w:ascii="微软雅黑" w:eastAsia="微软雅黑" w:hAnsi="微软雅黑" w:cs="宋体"/>
          <w:color w:val="2F2F2F"/>
          <w:kern w:val="0"/>
          <w:sz w:val="42"/>
          <w:szCs w:val="42"/>
        </w:rPr>
      </w:pPr>
      <w:r w:rsidRPr="007765EA">
        <w:rPr>
          <w:rFonts w:ascii="微软雅黑" w:eastAsia="微软雅黑" w:hAnsi="微软雅黑" w:cs="宋体" w:hint="eastAsia"/>
          <w:color w:val="363636"/>
          <w:kern w:val="0"/>
          <w:sz w:val="42"/>
          <w:szCs w:val="42"/>
        </w:rPr>
        <w:t>最高法发布</w:t>
      </w:r>
      <w:proofErr w:type="gramStart"/>
      <w:r w:rsidRPr="007765EA">
        <w:rPr>
          <w:rFonts w:ascii="微软雅黑" w:eastAsia="微软雅黑" w:hAnsi="微软雅黑" w:cs="宋体" w:hint="eastAsia"/>
          <w:color w:val="363636"/>
          <w:kern w:val="0"/>
          <w:sz w:val="42"/>
          <w:szCs w:val="42"/>
        </w:rPr>
        <w:t>《</w:t>
      </w:r>
      <w:proofErr w:type="gramEnd"/>
      <w:r w:rsidRPr="007765EA">
        <w:rPr>
          <w:rFonts w:ascii="微软雅黑" w:eastAsia="微软雅黑" w:hAnsi="微软雅黑" w:cs="宋体" w:hint="eastAsia"/>
          <w:color w:val="363636"/>
          <w:kern w:val="0"/>
          <w:sz w:val="42"/>
          <w:szCs w:val="42"/>
        </w:rPr>
        <w:t>关于修改〈最高人民法院关于适用《中华人民共和国民事诉讼法》的解释〉的决定》</w:t>
      </w:r>
    </w:p>
    <w:p w14:paraId="4E059D81" w14:textId="77777777" w:rsidR="007765EA" w:rsidRPr="007765EA" w:rsidRDefault="007765EA" w:rsidP="007765EA">
      <w:pPr>
        <w:widowControl/>
        <w:numPr>
          <w:ilvl w:val="0"/>
          <w:numId w:val="1"/>
        </w:numPr>
        <w:spacing w:line="690" w:lineRule="atLeast"/>
        <w:jc w:val="left"/>
        <w:rPr>
          <w:rFonts w:ascii="微软雅黑" w:eastAsia="微软雅黑" w:hAnsi="微软雅黑" w:cs="宋体" w:hint="eastAsia"/>
          <w:color w:val="2F2F2F"/>
          <w:kern w:val="0"/>
          <w:sz w:val="24"/>
          <w:szCs w:val="24"/>
        </w:rPr>
      </w:pPr>
      <w:r w:rsidRPr="007765EA">
        <w:rPr>
          <w:rFonts w:ascii="微软雅黑" w:eastAsia="微软雅黑" w:hAnsi="微软雅黑" w:cs="宋体" w:hint="eastAsia"/>
          <w:color w:val="2F2F2F"/>
          <w:kern w:val="0"/>
          <w:sz w:val="24"/>
          <w:szCs w:val="24"/>
        </w:rPr>
        <w:t>来源：最高人民法院</w:t>
      </w:r>
      <w:proofErr w:type="gramStart"/>
      <w:r w:rsidRPr="007765EA">
        <w:rPr>
          <w:rFonts w:ascii="微软雅黑" w:eastAsia="微软雅黑" w:hAnsi="微软雅黑" w:cs="宋体" w:hint="eastAsia"/>
          <w:color w:val="2F2F2F"/>
          <w:kern w:val="0"/>
          <w:sz w:val="24"/>
          <w:szCs w:val="24"/>
        </w:rPr>
        <w:t>微信公众号</w:t>
      </w:r>
      <w:proofErr w:type="gramEnd"/>
    </w:p>
    <w:p w14:paraId="48783F7F" w14:textId="77777777" w:rsidR="007765EA" w:rsidRPr="007765EA" w:rsidRDefault="007765EA" w:rsidP="007765EA">
      <w:pPr>
        <w:widowControl/>
        <w:numPr>
          <w:ilvl w:val="0"/>
          <w:numId w:val="1"/>
        </w:numPr>
        <w:spacing w:line="690" w:lineRule="atLeast"/>
        <w:jc w:val="left"/>
        <w:rPr>
          <w:rFonts w:ascii="微软雅黑" w:eastAsia="微软雅黑" w:hAnsi="微软雅黑" w:cs="宋体" w:hint="eastAsia"/>
          <w:color w:val="2F2F2F"/>
          <w:kern w:val="0"/>
          <w:sz w:val="24"/>
          <w:szCs w:val="24"/>
        </w:rPr>
      </w:pPr>
      <w:r w:rsidRPr="007765EA">
        <w:rPr>
          <w:rFonts w:ascii="微软雅黑" w:eastAsia="微软雅黑" w:hAnsi="微软雅黑" w:cs="宋体" w:hint="eastAsia"/>
          <w:color w:val="2F2F2F"/>
          <w:kern w:val="0"/>
          <w:sz w:val="24"/>
          <w:szCs w:val="24"/>
        </w:rPr>
        <w:t>发布时间：2022-04-02 19:08:40</w:t>
      </w:r>
    </w:p>
    <w:p w14:paraId="4828B89D" w14:textId="77777777" w:rsidR="007765EA" w:rsidRPr="007765EA" w:rsidRDefault="007765EA" w:rsidP="007765EA">
      <w:pPr>
        <w:widowControl/>
        <w:numPr>
          <w:ilvl w:val="0"/>
          <w:numId w:val="2"/>
        </w:numPr>
        <w:spacing w:line="690" w:lineRule="atLeast"/>
        <w:jc w:val="left"/>
        <w:rPr>
          <w:rFonts w:ascii="微软雅黑" w:eastAsia="微软雅黑" w:hAnsi="微软雅黑" w:cs="宋体" w:hint="eastAsia"/>
          <w:color w:val="2F2F2F"/>
          <w:kern w:val="0"/>
          <w:sz w:val="24"/>
          <w:szCs w:val="24"/>
        </w:rPr>
      </w:pPr>
      <w:r w:rsidRPr="007765EA">
        <w:rPr>
          <w:rFonts w:ascii="微软雅黑" w:eastAsia="微软雅黑" w:hAnsi="微软雅黑" w:cs="宋体" w:hint="eastAsia"/>
          <w:color w:val="2F2F2F"/>
          <w:kern w:val="0"/>
          <w:sz w:val="24"/>
          <w:szCs w:val="24"/>
        </w:rPr>
        <w:t>字号：</w:t>
      </w:r>
      <w:hyperlink r:id="rId5" w:history="1">
        <w:r w:rsidRPr="007765EA">
          <w:rPr>
            <w:rFonts w:ascii="微软雅黑" w:eastAsia="微软雅黑" w:hAnsi="微软雅黑" w:cs="宋体" w:hint="eastAsia"/>
            <w:color w:val="2F2F2F"/>
            <w:kern w:val="0"/>
            <w:sz w:val="24"/>
            <w:szCs w:val="24"/>
            <w:u w:val="single"/>
          </w:rPr>
          <w:t>小</w:t>
        </w:r>
      </w:hyperlink>
      <w:hyperlink r:id="rId6" w:history="1">
        <w:r w:rsidRPr="007765EA">
          <w:rPr>
            <w:rFonts w:ascii="微软雅黑" w:eastAsia="微软雅黑" w:hAnsi="微软雅黑" w:cs="宋体" w:hint="eastAsia"/>
            <w:color w:val="2F2F2F"/>
            <w:kern w:val="0"/>
            <w:sz w:val="24"/>
            <w:szCs w:val="24"/>
            <w:u w:val="single"/>
          </w:rPr>
          <w:t>大</w:t>
        </w:r>
      </w:hyperlink>
    </w:p>
    <w:p w14:paraId="5D3F31D4" w14:textId="77777777" w:rsidR="007765EA" w:rsidRPr="007765EA" w:rsidRDefault="007765EA" w:rsidP="007765EA">
      <w:pPr>
        <w:widowControl/>
        <w:numPr>
          <w:ilvl w:val="0"/>
          <w:numId w:val="2"/>
        </w:numPr>
        <w:spacing w:line="690" w:lineRule="atLeast"/>
        <w:jc w:val="left"/>
        <w:rPr>
          <w:rFonts w:ascii="微软雅黑" w:eastAsia="微软雅黑" w:hAnsi="微软雅黑" w:cs="宋体" w:hint="eastAsia"/>
          <w:color w:val="2F2F2F"/>
          <w:kern w:val="0"/>
          <w:sz w:val="24"/>
          <w:szCs w:val="24"/>
        </w:rPr>
      </w:pPr>
      <w:hyperlink r:id="rId7" w:history="1">
        <w:r w:rsidRPr="007765EA">
          <w:rPr>
            <w:rFonts w:ascii="微软雅黑" w:eastAsia="微软雅黑" w:hAnsi="微软雅黑" w:cs="宋体" w:hint="eastAsia"/>
            <w:color w:val="2F2F2F"/>
            <w:kern w:val="0"/>
            <w:sz w:val="24"/>
            <w:szCs w:val="24"/>
            <w:u w:val="single"/>
          </w:rPr>
          <w:t>打印本页</w:t>
        </w:r>
      </w:hyperlink>
    </w:p>
    <w:p w14:paraId="5C678734"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2022年3月22日，最高人民法院审判委员会第1866次全体会议审议通过了</w:t>
      </w:r>
      <w:proofErr w:type="gramStart"/>
      <w:r w:rsidRPr="007765EA">
        <w:rPr>
          <w:rFonts w:ascii="宋体" w:eastAsia="宋体" w:hAnsi="宋体" w:cs="宋体" w:hint="eastAsia"/>
          <w:color w:val="333333"/>
          <w:kern w:val="0"/>
          <w:sz w:val="27"/>
          <w:szCs w:val="27"/>
        </w:rPr>
        <w:t>《</w:t>
      </w:r>
      <w:proofErr w:type="gramEnd"/>
      <w:r w:rsidRPr="007765EA">
        <w:rPr>
          <w:rFonts w:ascii="宋体" w:eastAsia="宋体" w:hAnsi="宋体" w:cs="宋体" w:hint="eastAsia"/>
          <w:color w:val="333333"/>
          <w:kern w:val="0"/>
          <w:sz w:val="27"/>
          <w:szCs w:val="27"/>
        </w:rPr>
        <w:t>最高人民法院关于修改〈最高人民法院关于适用《中华人民共和国民事诉讼法》的解释〉的决定</w:t>
      </w:r>
      <w:proofErr w:type="gramStart"/>
      <w:r w:rsidRPr="007765EA">
        <w:rPr>
          <w:rFonts w:ascii="宋体" w:eastAsia="宋体" w:hAnsi="宋体" w:cs="宋体" w:hint="eastAsia"/>
          <w:color w:val="333333"/>
          <w:kern w:val="0"/>
          <w:sz w:val="27"/>
          <w:szCs w:val="27"/>
        </w:rPr>
        <w:t>》</w:t>
      </w:r>
      <w:proofErr w:type="gramEnd"/>
      <w:r w:rsidRPr="007765EA">
        <w:rPr>
          <w:rFonts w:ascii="宋体" w:eastAsia="宋体" w:hAnsi="宋体" w:cs="宋体" w:hint="eastAsia"/>
          <w:color w:val="333333"/>
          <w:kern w:val="0"/>
          <w:sz w:val="27"/>
          <w:szCs w:val="27"/>
        </w:rPr>
        <w:t>（法释〔2022〕11号，以下简称《决定》），自2022年4月10日起施行。</w:t>
      </w:r>
    </w:p>
    <w:p w14:paraId="0ABAB308"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民事诉讼法是规范民事诉讼程序的基本规则，是人民法院审理和执行民事案件的基本程序法律依据。2021年12月24日，第十三届全国人民代表大会常务委员会第三十二次会议审议通过《关于修改〈中华人民共和国民事诉讼法〉的决定》，对司法确认程序、简易程序及小额诉讼的程序、独任制程序、在线诉讼及送达规则等进行了修改并新增7个条文，整体条文顺序发生了变化。民事诉讼法修改后，《最高人民法院关于适用〈中华人民共和国民事诉讼法〉的解释》（以下简称《民诉法解释》）所引用的民事诉讼法条文序号与新民事诉讼法出现了不一致，相关条文表述也亟待调整。</w:t>
      </w:r>
    </w:p>
    <w:p w14:paraId="3772E4EA"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为切实做好新民事诉讼法贯彻实施工作，2022年1月，最高人民法院启动了《民诉法解释》修改工作，在全国人大常委会法工委的有力指导下，经过在</w:t>
      </w:r>
      <w:r w:rsidRPr="007765EA">
        <w:rPr>
          <w:rFonts w:ascii="宋体" w:eastAsia="宋体" w:hAnsi="宋体" w:cs="宋体" w:hint="eastAsia"/>
          <w:color w:val="333333"/>
          <w:kern w:val="0"/>
          <w:sz w:val="27"/>
          <w:szCs w:val="27"/>
        </w:rPr>
        <w:lastRenderedPageBreak/>
        <w:t>上海、南通两地法院调研、征求专家学者和院内相关部门意见，形成了《决定》并由最高人民法院审判委员会审议通过。</w:t>
      </w:r>
    </w:p>
    <w:p w14:paraId="4DC4C8E3"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《决定》立足审判工作实际，坚持需求导向，严格对照新民事诉讼法有关规定对《民诉法解释》条文序号和条文表述进行适应性修改，共计16个条文。主要内容如下：</w:t>
      </w:r>
    </w:p>
    <w:p w14:paraId="115B8B2D"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一是修改简易程序案件延长审限的相关规定。对照新民事诉讼法第一百六十四条的规定，将简易程序案件延长审限的条件由“双方当事人同意继续适用简易程序”修改为“有特殊情况需要延长”，同时将简易程序案件的最长审限由六个月修改为四个月。</w:t>
      </w:r>
    </w:p>
    <w:p w14:paraId="7FF70799"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二是修改程序转换和程序异议的相关规定。对照新民事诉讼法第一百七十条的规定，将简易程序转换为普通程序的条件由“案情复杂”修改为“不宜适用简易程序”，为下一步细化程序转换标准预留空间。同时，明确当事人对适用简易程序、小额诉讼程序的异议不成立的，人民法院应当裁定驳回，裁定可以采取口头形式。</w:t>
      </w:r>
    </w:p>
    <w:p w14:paraId="42EB7902"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三是修改简便方式送达诉讼文书的规定。根据新民事诉讼法关于电子送达的规定，明确人民法院可以依照民事诉讼法第九十条、第一百六十二条的规定采取捎口信、电话、短信、传真、电子邮件等简便方式传唤双方当事人、通知证人和送达诉讼文书。</w:t>
      </w:r>
    </w:p>
    <w:p w14:paraId="5E8E2874"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四是修改小额诉讼案件的相关规定。根据新民事诉讼法第一百六十五条、第一百六十六条的规定，删除《民诉法解释》原第二百七十四条、第二百七十五条关于具体适用和不得适用小额诉讼程序案件类型的规定；调整海事、海商案件适用小额诉讼程序的标的额标准，并允许当事人依法合意选择适用。</w:t>
      </w:r>
    </w:p>
    <w:p w14:paraId="0EB2C51B"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lastRenderedPageBreak/>
        <w:t xml:space="preserve">　　五是修改司法确认案件共同管辖的相关规定。对照新民事诉讼法第二百零一条关于司法确认案件管辖规则的规定，对调解组织自行开展调解的司法确认案件管辖问题进行适应性修改。</w:t>
      </w:r>
    </w:p>
    <w:p w14:paraId="7B4063EA"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六是调整所引用民事诉讼法的条文序号和司法解释自身的条文顺序。这是审判实践亟需解决的技术操作问题。考虑到本次修改需要调整所引用的民事诉讼法条文序号多达200余处，加之司法解释自身条文顺序也需要调整，《决定》坚持精简原则，通过两个条文对《民诉法解释》引用的民事诉讼法条文序号、《民诉法解释》本身的条文顺序进行统一修改。《决定》发布的同时，一并公布新《民诉法解释》文本，便于各级人民法院准确引用司法解释相应条文。</w:t>
      </w:r>
    </w:p>
    <w:p w14:paraId="7045F04E"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此外，《决定》还对个别文字表述进行了修改。如将第九条、第二百一十八条中的“抚育费”改为“抚养费”，确保《民诉法解释》与新民事诉讼法等法律保持一致。</w:t>
      </w:r>
    </w:p>
    <w:p w14:paraId="4620DA8B"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《民诉法解释》需要根据新民事诉讼法进一步修改完善的其他内容，我们将加强对审判实践的调研，广泛征求意见，适时稳步推进。</w:t>
      </w:r>
    </w:p>
    <w:p w14:paraId="756CEA39"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w:t>
      </w:r>
      <w:proofErr w:type="gramStart"/>
      <w:r w:rsidRPr="007765EA">
        <w:rPr>
          <w:rFonts w:ascii="宋体" w:eastAsia="宋体" w:hAnsi="宋体" w:cs="宋体" w:hint="eastAsia"/>
          <w:color w:val="333333"/>
          <w:kern w:val="0"/>
          <w:sz w:val="27"/>
          <w:szCs w:val="27"/>
        </w:rPr>
        <w:t>《</w:t>
      </w:r>
      <w:proofErr w:type="gramEnd"/>
      <w:r w:rsidRPr="007765EA">
        <w:rPr>
          <w:rFonts w:ascii="宋体" w:eastAsia="宋体" w:hAnsi="宋体" w:cs="宋体" w:hint="eastAsia"/>
          <w:color w:val="333333"/>
          <w:kern w:val="0"/>
          <w:sz w:val="27"/>
          <w:szCs w:val="27"/>
        </w:rPr>
        <w:t>最高人民法院关于修改〈最高人民法院关于适用《中华人民共和国民事诉讼法》的解释〉的决定</w:t>
      </w:r>
      <w:proofErr w:type="gramStart"/>
      <w:r w:rsidRPr="007765EA">
        <w:rPr>
          <w:rFonts w:ascii="宋体" w:eastAsia="宋体" w:hAnsi="宋体" w:cs="宋体" w:hint="eastAsia"/>
          <w:color w:val="333333"/>
          <w:kern w:val="0"/>
          <w:sz w:val="27"/>
          <w:szCs w:val="27"/>
        </w:rPr>
        <w:t>》</w:t>
      </w:r>
      <w:proofErr w:type="gramEnd"/>
      <w:r w:rsidRPr="007765EA">
        <w:rPr>
          <w:rFonts w:ascii="宋体" w:eastAsia="宋体" w:hAnsi="宋体" w:cs="宋体" w:hint="eastAsia"/>
          <w:color w:val="333333"/>
          <w:kern w:val="0"/>
          <w:sz w:val="27"/>
          <w:szCs w:val="27"/>
        </w:rPr>
        <w:t>已于2022年3月22日由最高人民法院审判委员会第1866次会议通过，现予公布，自2022年4月10日起施行。</w:t>
      </w:r>
    </w:p>
    <w:p w14:paraId="6E6283D7" w14:textId="77777777" w:rsidR="007765EA" w:rsidRPr="007765EA" w:rsidRDefault="007765EA" w:rsidP="007765EA">
      <w:pPr>
        <w:widowControl/>
        <w:shd w:val="clear" w:color="auto" w:fill="FFFFFF"/>
        <w:spacing w:line="480" w:lineRule="auto"/>
        <w:jc w:val="right"/>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最高人民法院</w:t>
      </w:r>
    </w:p>
    <w:p w14:paraId="5468C81D" w14:textId="77777777" w:rsidR="007765EA" w:rsidRPr="007765EA" w:rsidRDefault="007765EA" w:rsidP="007765EA">
      <w:pPr>
        <w:widowControl/>
        <w:shd w:val="clear" w:color="auto" w:fill="FFFFFF"/>
        <w:spacing w:line="480" w:lineRule="auto"/>
        <w:jc w:val="right"/>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2022年4月1日</w:t>
      </w:r>
    </w:p>
    <w:p w14:paraId="52D1E7DC" w14:textId="77777777" w:rsidR="007765EA" w:rsidRPr="007765EA" w:rsidRDefault="007765EA" w:rsidP="007765EA">
      <w:pPr>
        <w:widowControl/>
        <w:shd w:val="clear" w:color="auto" w:fill="FFFFFF"/>
        <w:spacing w:line="480" w:lineRule="auto"/>
        <w:jc w:val="center"/>
        <w:rPr>
          <w:rFonts w:ascii="宋体" w:eastAsia="宋体" w:hAnsi="宋体" w:cs="宋体" w:hint="eastAsia"/>
          <w:color w:val="333333"/>
          <w:kern w:val="0"/>
          <w:sz w:val="27"/>
          <w:szCs w:val="27"/>
        </w:rPr>
      </w:pPr>
      <w:r w:rsidRPr="007765EA">
        <w:rPr>
          <w:rFonts w:ascii="font-size:18px;" w:eastAsia="宋体" w:hAnsi="font-size:18px;" w:cs="宋体"/>
          <w:color w:val="333333"/>
          <w:kern w:val="0"/>
          <w:sz w:val="27"/>
          <w:szCs w:val="27"/>
        </w:rPr>
        <w:t xml:space="preserve">　　</w:t>
      </w:r>
      <w:r w:rsidRPr="007765EA">
        <w:rPr>
          <w:rFonts w:ascii="font-size:18px;" w:eastAsia="宋体" w:hAnsi="font-size:18px;" w:cs="宋体"/>
          <w:b/>
          <w:bCs/>
          <w:color w:val="333333"/>
          <w:kern w:val="0"/>
          <w:sz w:val="27"/>
          <w:szCs w:val="27"/>
        </w:rPr>
        <w:t>法释〔</w:t>
      </w:r>
      <w:r w:rsidRPr="007765EA">
        <w:rPr>
          <w:rFonts w:ascii="font-size:18px;" w:eastAsia="宋体" w:hAnsi="font-size:18px;" w:cs="宋体"/>
          <w:b/>
          <w:bCs/>
          <w:color w:val="333333"/>
          <w:kern w:val="0"/>
          <w:sz w:val="27"/>
          <w:szCs w:val="27"/>
        </w:rPr>
        <w:t>2022</w:t>
      </w:r>
      <w:r w:rsidRPr="007765EA">
        <w:rPr>
          <w:rFonts w:ascii="font-size:18px;" w:eastAsia="宋体" w:hAnsi="font-size:18px;" w:cs="宋体"/>
          <w:b/>
          <w:bCs/>
          <w:color w:val="333333"/>
          <w:kern w:val="0"/>
          <w:sz w:val="27"/>
          <w:szCs w:val="27"/>
        </w:rPr>
        <w:t>〕</w:t>
      </w:r>
      <w:r w:rsidRPr="007765EA">
        <w:rPr>
          <w:rFonts w:ascii="font-size:18px;" w:eastAsia="宋体" w:hAnsi="font-size:18px;" w:cs="宋体"/>
          <w:b/>
          <w:bCs/>
          <w:color w:val="333333"/>
          <w:kern w:val="0"/>
          <w:sz w:val="27"/>
          <w:szCs w:val="27"/>
        </w:rPr>
        <w:t>11</w:t>
      </w:r>
      <w:r w:rsidRPr="007765EA">
        <w:rPr>
          <w:rFonts w:ascii="font-size:18px;" w:eastAsia="宋体" w:hAnsi="font-size:18px;" w:cs="宋体"/>
          <w:b/>
          <w:bCs/>
          <w:color w:val="333333"/>
          <w:kern w:val="0"/>
          <w:sz w:val="27"/>
          <w:szCs w:val="27"/>
        </w:rPr>
        <w:t>号</w:t>
      </w:r>
    </w:p>
    <w:p w14:paraId="59B8CF44" w14:textId="77777777" w:rsidR="007765EA" w:rsidRPr="007765EA" w:rsidRDefault="007765EA" w:rsidP="007765EA">
      <w:pPr>
        <w:widowControl/>
        <w:shd w:val="clear" w:color="auto" w:fill="FFFFFF"/>
        <w:spacing w:line="480" w:lineRule="auto"/>
        <w:jc w:val="center"/>
        <w:rPr>
          <w:rFonts w:ascii="宋体" w:eastAsia="宋体" w:hAnsi="宋体" w:cs="宋体" w:hint="eastAsia"/>
          <w:color w:val="333333"/>
          <w:kern w:val="0"/>
          <w:sz w:val="27"/>
          <w:szCs w:val="27"/>
        </w:rPr>
      </w:pPr>
      <w:r w:rsidRPr="007765EA">
        <w:rPr>
          <w:rFonts w:ascii="font-size:18px;" w:eastAsia="宋体" w:hAnsi="font-size:18px;" w:cs="宋体"/>
          <w:b/>
          <w:bCs/>
          <w:color w:val="333333"/>
          <w:kern w:val="0"/>
          <w:sz w:val="27"/>
          <w:szCs w:val="27"/>
        </w:rPr>
        <w:t xml:space="preserve">　　最高人民法院</w:t>
      </w:r>
    </w:p>
    <w:p w14:paraId="21F45692" w14:textId="77777777" w:rsidR="007765EA" w:rsidRPr="007765EA" w:rsidRDefault="007765EA" w:rsidP="007765EA">
      <w:pPr>
        <w:widowControl/>
        <w:shd w:val="clear" w:color="auto" w:fill="FFFFFF"/>
        <w:spacing w:line="480" w:lineRule="auto"/>
        <w:jc w:val="center"/>
        <w:rPr>
          <w:rFonts w:ascii="宋体" w:eastAsia="宋体" w:hAnsi="宋体" w:cs="宋体" w:hint="eastAsia"/>
          <w:color w:val="333333"/>
          <w:kern w:val="0"/>
          <w:sz w:val="27"/>
          <w:szCs w:val="27"/>
        </w:rPr>
      </w:pPr>
      <w:r w:rsidRPr="007765EA">
        <w:rPr>
          <w:rFonts w:ascii="font-size:18px;" w:eastAsia="宋体" w:hAnsi="font-size:18px;" w:cs="宋体"/>
          <w:b/>
          <w:bCs/>
          <w:color w:val="333333"/>
          <w:kern w:val="0"/>
          <w:sz w:val="27"/>
          <w:szCs w:val="27"/>
        </w:rPr>
        <w:t xml:space="preserve">　　关于修改《最高人民法院关于适用〈中华人民共和国民事诉讼法〉的解释》的决定</w:t>
      </w:r>
    </w:p>
    <w:p w14:paraId="35A9E3F9" w14:textId="77777777" w:rsidR="007765EA" w:rsidRPr="007765EA" w:rsidRDefault="007765EA" w:rsidP="007765EA">
      <w:pPr>
        <w:widowControl/>
        <w:shd w:val="clear" w:color="auto" w:fill="FFFFFF"/>
        <w:spacing w:line="480" w:lineRule="auto"/>
        <w:jc w:val="center"/>
        <w:rPr>
          <w:rFonts w:ascii="宋体" w:eastAsia="宋体" w:hAnsi="宋体" w:cs="宋体" w:hint="eastAsia"/>
          <w:color w:val="333333"/>
          <w:kern w:val="0"/>
          <w:sz w:val="27"/>
          <w:szCs w:val="27"/>
        </w:rPr>
      </w:pPr>
      <w:r w:rsidRPr="007765EA">
        <w:rPr>
          <w:rFonts w:ascii="font-size:18px;" w:eastAsia="宋体" w:hAnsi="font-size:18px;" w:cs="宋体"/>
          <w:b/>
          <w:bCs/>
          <w:color w:val="333333"/>
          <w:kern w:val="0"/>
          <w:sz w:val="27"/>
          <w:szCs w:val="27"/>
        </w:rPr>
        <w:lastRenderedPageBreak/>
        <w:t xml:space="preserve">　　（</w:t>
      </w:r>
      <w:r w:rsidRPr="007765EA">
        <w:rPr>
          <w:rFonts w:ascii="font-size:18px;" w:eastAsia="宋体" w:hAnsi="font-size:18px;" w:cs="宋体"/>
          <w:b/>
          <w:bCs/>
          <w:color w:val="333333"/>
          <w:kern w:val="0"/>
          <w:sz w:val="27"/>
          <w:szCs w:val="27"/>
        </w:rPr>
        <w:t>2022</w:t>
      </w:r>
      <w:r w:rsidRPr="007765EA">
        <w:rPr>
          <w:rFonts w:ascii="font-size:18px;" w:eastAsia="宋体" w:hAnsi="font-size:18px;" w:cs="宋体"/>
          <w:b/>
          <w:bCs/>
          <w:color w:val="333333"/>
          <w:kern w:val="0"/>
          <w:sz w:val="27"/>
          <w:szCs w:val="27"/>
        </w:rPr>
        <w:t>年</w:t>
      </w:r>
      <w:r w:rsidRPr="007765EA">
        <w:rPr>
          <w:rFonts w:ascii="font-size:18px;" w:eastAsia="宋体" w:hAnsi="font-size:18px;" w:cs="宋体"/>
          <w:b/>
          <w:bCs/>
          <w:color w:val="333333"/>
          <w:kern w:val="0"/>
          <w:sz w:val="27"/>
          <w:szCs w:val="27"/>
        </w:rPr>
        <w:t>3</w:t>
      </w:r>
      <w:r w:rsidRPr="007765EA">
        <w:rPr>
          <w:rFonts w:ascii="font-size:18px;" w:eastAsia="宋体" w:hAnsi="font-size:18px;" w:cs="宋体"/>
          <w:b/>
          <w:bCs/>
          <w:color w:val="333333"/>
          <w:kern w:val="0"/>
          <w:sz w:val="27"/>
          <w:szCs w:val="27"/>
        </w:rPr>
        <w:t>月</w:t>
      </w:r>
      <w:r w:rsidRPr="007765EA">
        <w:rPr>
          <w:rFonts w:ascii="font-size:18px;" w:eastAsia="宋体" w:hAnsi="font-size:18px;" w:cs="宋体"/>
          <w:b/>
          <w:bCs/>
          <w:color w:val="333333"/>
          <w:kern w:val="0"/>
          <w:sz w:val="27"/>
          <w:szCs w:val="27"/>
        </w:rPr>
        <w:t>22</w:t>
      </w:r>
      <w:r w:rsidRPr="007765EA">
        <w:rPr>
          <w:rFonts w:ascii="font-size:18px;" w:eastAsia="宋体" w:hAnsi="font-size:18px;" w:cs="宋体"/>
          <w:b/>
          <w:bCs/>
          <w:color w:val="333333"/>
          <w:kern w:val="0"/>
          <w:sz w:val="27"/>
          <w:szCs w:val="27"/>
        </w:rPr>
        <w:t>日最高人民法院审判委员会第</w:t>
      </w:r>
      <w:r w:rsidRPr="007765EA">
        <w:rPr>
          <w:rFonts w:ascii="font-size:18px;" w:eastAsia="宋体" w:hAnsi="font-size:18px;" w:cs="宋体"/>
          <w:b/>
          <w:bCs/>
          <w:color w:val="333333"/>
          <w:kern w:val="0"/>
          <w:sz w:val="27"/>
          <w:szCs w:val="27"/>
        </w:rPr>
        <w:t>1866</w:t>
      </w:r>
      <w:r w:rsidRPr="007765EA">
        <w:rPr>
          <w:rFonts w:ascii="font-size:18px;" w:eastAsia="宋体" w:hAnsi="font-size:18px;" w:cs="宋体"/>
          <w:b/>
          <w:bCs/>
          <w:color w:val="333333"/>
          <w:kern w:val="0"/>
          <w:sz w:val="27"/>
          <w:szCs w:val="27"/>
        </w:rPr>
        <w:t>次会议通过，</w:t>
      </w:r>
    </w:p>
    <w:p w14:paraId="519BA57E" w14:textId="77777777" w:rsidR="007765EA" w:rsidRPr="007765EA" w:rsidRDefault="007765EA" w:rsidP="007765EA">
      <w:pPr>
        <w:widowControl/>
        <w:shd w:val="clear" w:color="auto" w:fill="FFFFFF"/>
        <w:spacing w:line="480" w:lineRule="auto"/>
        <w:jc w:val="center"/>
        <w:rPr>
          <w:rFonts w:ascii="宋体" w:eastAsia="宋体" w:hAnsi="宋体" w:cs="宋体" w:hint="eastAsia"/>
          <w:color w:val="333333"/>
          <w:kern w:val="0"/>
          <w:sz w:val="27"/>
          <w:szCs w:val="27"/>
        </w:rPr>
      </w:pPr>
      <w:r w:rsidRPr="007765EA">
        <w:rPr>
          <w:rFonts w:ascii="font-size:18px;" w:eastAsia="宋体" w:hAnsi="font-size:18px;" w:cs="宋体"/>
          <w:b/>
          <w:bCs/>
          <w:color w:val="333333"/>
          <w:kern w:val="0"/>
          <w:sz w:val="27"/>
          <w:szCs w:val="27"/>
        </w:rPr>
        <w:t>自</w:t>
      </w:r>
      <w:r w:rsidRPr="007765EA">
        <w:rPr>
          <w:rFonts w:ascii="font-size:18px;" w:eastAsia="宋体" w:hAnsi="font-size:18px;" w:cs="宋体"/>
          <w:b/>
          <w:bCs/>
          <w:color w:val="333333"/>
          <w:kern w:val="0"/>
          <w:sz w:val="27"/>
          <w:szCs w:val="27"/>
        </w:rPr>
        <w:t>2022</w:t>
      </w:r>
      <w:r w:rsidRPr="007765EA">
        <w:rPr>
          <w:rFonts w:ascii="font-size:18px;" w:eastAsia="宋体" w:hAnsi="font-size:18px;" w:cs="宋体"/>
          <w:b/>
          <w:bCs/>
          <w:color w:val="333333"/>
          <w:kern w:val="0"/>
          <w:sz w:val="27"/>
          <w:szCs w:val="27"/>
        </w:rPr>
        <w:t>年</w:t>
      </w:r>
      <w:r w:rsidRPr="007765EA">
        <w:rPr>
          <w:rFonts w:ascii="font-size:18px;" w:eastAsia="宋体" w:hAnsi="font-size:18px;" w:cs="宋体"/>
          <w:b/>
          <w:bCs/>
          <w:color w:val="333333"/>
          <w:kern w:val="0"/>
          <w:sz w:val="27"/>
          <w:szCs w:val="27"/>
        </w:rPr>
        <w:t>4</w:t>
      </w:r>
      <w:r w:rsidRPr="007765EA">
        <w:rPr>
          <w:rFonts w:ascii="font-size:18px;" w:eastAsia="宋体" w:hAnsi="font-size:18px;" w:cs="宋体"/>
          <w:b/>
          <w:bCs/>
          <w:color w:val="333333"/>
          <w:kern w:val="0"/>
          <w:sz w:val="27"/>
          <w:szCs w:val="27"/>
        </w:rPr>
        <w:t>月</w:t>
      </w:r>
      <w:r w:rsidRPr="007765EA">
        <w:rPr>
          <w:rFonts w:ascii="font-size:18px;" w:eastAsia="宋体" w:hAnsi="font-size:18px;" w:cs="宋体"/>
          <w:b/>
          <w:bCs/>
          <w:color w:val="333333"/>
          <w:kern w:val="0"/>
          <w:sz w:val="27"/>
          <w:szCs w:val="27"/>
        </w:rPr>
        <w:t>10</w:t>
      </w:r>
      <w:r w:rsidRPr="007765EA">
        <w:rPr>
          <w:rFonts w:ascii="font-size:18px;" w:eastAsia="宋体" w:hAnsi="font-size:18px;" w:cs="宋体"/>
          <w:b/>
          <w:bCs/>
          <w:color w:val="333333"/>
          <w:kern w:val="0"/>
          <w:sz w:val="27"/>
          <w:szCs w:val="27"/>
        </w:rPr>
        <w:t>日起施行）</w:t>
      </w:r>
    </w:p>
    <w:p w14:paraId="5B28AB0A"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2021年12月24日，第十三届全国人大常委会第三十二次会议审议通过了《全国人民代表大会常务委员会关于修改〈中华人民共和国民事诉讼法〉的决定》。根据修改后的民事诉讼法，结合人民法院民事审判和执行工作实际，最高人民法院审判委员会第1866次会议决定，对《最高人民法院关于适用〈中华人民共和国民事诉讼法〉的解释》作如下修改：</w:t>
      </w:r>
    </w:p>
    <w:p w14:paraId="4236776C"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一、将第九条修改为：“追索赡养费、扶养费、抚养费案件的几个被告住所地不在同一辖区的，可以由原告住所地人民法院管辖。”</w:t>
      </w:r>
    </w:p>
    <w:p w14:paraId="3E904D71"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二、将第四十五条修改为：“在一个审判程序中参与过本案审判工作的审判人员，不得再参与该案其他程序的审判。</w:t>
      </w:r>
    </w:p>
    <w:p w14:paraId="40F7AE69"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“发回重审的案件，在一审法院</w:t>
      </w:r>
      <w:proofErr w:type="gramStart"/>
      <w:r w:rsidRPr="007765EA">
        <w:rPr>
          <w:rFonts w:ascii="宋体" w:eastAsia="宋体" w:hAnsi="宋体" w:cs="宋体" w:hint="eastAsia"/>
          <w:color w:val="333333"/>
          <w:kern w:val="0"/>
          <w:sz w:val="27"/>
          <w:szCs w:val="27"/>
        </w:rPr>
        <w:t>作出</w:t>
      </w:r>
      <w:proofErr w:type="gramEnd"/>
      <w:r w:rsidRPr="007765EA">
        <w:rPr>
          <w:rFonts w:ascii="宋体" w:eastAsia="宋体" w:hAnsi="宋体" w:cs="宋体" w:hint="eastAsia"/>
          <w:color w:val="333333"/>
          <w:kern w:val="0"/>
          <w:sz w:val="27"/>
          <w:szCs w:val="27"/>
        </w:rPr>
        <w:t>裁判后又进入第二审程序的，原第二审程序中审判人员不受前款规定的限制。”</w:t>
      </w:r>
    </w:p>
    <w:p w14:paraId="78EABB1F"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三、将第四十八条修改为：“民事诉讼法第四十七条所称的审判人员，包括参与本案审理的人民法院院长、副院长、审判委员会委员、庭长、副庭长、审判员和人民陪审员。”</w:t>
      </w:r>
    </w:p>
    <w:p w14:paraId="60199151"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四、将第六十一条修改为：“当事人之间的纠纷经人民调解委员会或者其他依法设立的调解组织调解达成协议后，一方当事人不履行调解协议，另一方当事人向人民法院提起诉讼的，应以对方当事人为被告。”</w:t>
      </w:r>
    </w:p>
    <w:p w14:paraId="4FE8B069"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五、将第二百一十八条修改为：“赡养费、扶养费、抚养费案件，裁判发生法律效力后，因新情况、新理由，一方当事人再行起诉要求增加或者减少费用的，人民法院应作为新案受理。”</w:t>
      </w:r>
    </w:p>
    <w:p w14:paraId="2CC479C6"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lastRenderedPageBreak/>
        <w:t xml:space="preserve">　　六、将第二百五十八条修改为：“适用简易程序审理的案件，审理期限到期后，有特殊情况需要延长的，经本院院长批准，可以延长审理期限。延长后的审理期限累计不得超过四个月。</w:t>
      </w:r>
    </w:p>
    <w:p w14:paraId="08805B4D"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“人民法院发现案件不宜适用简易程序，需要转为普通程序审理的，应当在审理期限届满前作出裁定并将审判人员及相关事项书面通知双方当事人。</w:t>
      </w:r>
    </w:p>
    <w:p w14:paraId="3F3B5F8E"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“案件转为普通程序审理的，审理期限自人民法院立案之日计算。”</w:t>
      </w:r>
    </w:p>
    <w:p w14:paraId="63CDA878"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七、将第二百六十一条修改为：“适用简易程序审理案件，人民法院可以依照民事诉讼法第九十条、第一百六十二条的规定采取捎口信、电话、短信、传真、电子邮件等简便方式传唤双方当事人、通知证人和送达诉讼文书。</w:t>
      </w:r>
    </w:p>
    <w:p w14:paraId="63C4F449"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“以简便方式送达的开庭通知，未经当事人确认或者没有其他证据证明当事人已经收到的，人民法院不得缺席判决。</w:t>
      </w:r>
    </w:p>
    <w:p w14:paraId="15DC758E"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“适用简易程序审理案件，由审判员独任审判，书记员担任记录。”</w:t>
      </w:r>
    </w:p>
    <w:p w14:paraId="459684AE"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八、将第二百六十九条修改为：“当事人就案件适用简易程序提出异议，人民法院经审查，异议成立的，裁定转为普通程序；异议不成立的，裁定驳回。裁定以口头方式</w:t>
      </w:r>
      <w:proofErr w:type="gramStart"/>
      <w:r w:rsidRPr="007765EA">
        <w:rPr>
          <w:rFonts w:ascii="宋体" w:eastAsia="宋体" w:hAnsi="宋体" w:cs="宋体" w:hint="eastAsia"/>
          <w:color w:val="333333"/>
          <w:kern w:val="0"/>
          <w:sz w:val="27"/>
          <w:szCs w:val="27"/>
        </w:rPr>
        <w:t>作出</w:t>
      </w:r>
      <w:proofErr w:type="gramEnd"/>
      <w:r w:rsidRPr="007765EA">
        <w:rPr>
          <w:rFonts w:ascii="宋体" w:eastAsia="宋体" w:hAnsi="宋体" w:cs="宋体" w:hint="eastAsia"/>
          <w:color w:val="333333"/>
          <w:kern w:val="0"/>
          <w:sz w:val="27"/>
          <w:szCs w:val="27"/>
        </w:rPr>
        <w:t>的，应当记入笔录。</w:t>
      </w:r>
    </w:p>
    <w:p w14:paraId="3A6CD49D"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“转为普通程序的，人民法院应当将审判人员及相关事项以书面形式通知双方当事人。</w:t>
      </w:r>
    </w:p>
    <w:p w14:paraId="7C2556DC"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“转为普通程序前，双方当事人已确认的事实，可以不再进行举证、质证。”</w:t>
      </w:r>
    </w:p>
    <w:p w14:paraId="3F822F3B"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九、将第二百七十三条修改为：“海事法院可以适用小额诉讼的程序审理海事、海商案件。案件标的额应当以实际受理案件的海事法院或者其派出法庭所在的省、自治区、直辖市上年度就业人员年平均工资为基数计算。”</w:t>
      </w:r>
    </w:p>
    <w:p w14:paraId="005AC746"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十、删除第二百七十四条、第二百七十五条。</w:t>
      </w:r>
    </w:p>
    <w:p w14:paraId="359B7DEE"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lastRenderedPageBreak/>
        <w:t xml:space="preserve">　　十一、将第二百八十一条改为第二百七十九条，修改为：“当事人对按照小额诉讼案件审理有异议的，应当在开庭前提出。人民法院经审查，异议成立的，适用简易程序的其他规定审理或者裁定转为普通程序；异议不成立的，裁定驳回。裁定以口头方式</w:t>
      </w:r>
      <w:proofErr w:type="gramStart"/>
      <w:r w:rsidRPr="007765EA">
        <w:rPr>
          <w:rFonts w:ascii="宋体" w:eastAsia="宋体" w:hAnsi="宋体" w:cs="宋体" w:hint="eastAsia"/>
          <w:color w:val="333333"/>
          <w:kern w:val="0"/>
          <w:sz w:val="27"/>
          <w:szCs w:val="27"/>
        </w:rPr>
        <w:t>作出</w:t>
      </w:r>
      <w:proofErr w:type="gramEnd"/>
      <w:r w:rsidRPr="007765EA">
        <w:rPr>
          <w:rFonts w:ascii="宋体" w:eastAsia="宋体" w:hAnsi="宋体" w:cs="宋体" w:hint="eastAsia"/>
          <w:color w:val="333333"/>
          <w:kern w:val="0"/>
          <w:sz w:val="27"/>
          <w:szCs w:val="27"/>
        </w:rPr>
        <w:t>的，应当记入笔录。”</w:t>
      </w:r>
    </w:p>
    <w:p w14:paraId="293AE177"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十二、将第三百四十九条改为第三百四十七条，修改为：“在诉讼中，当事人的利害关系人或者有关组织提出该当事人不能辨认或者不能完全辨认自己的行为，要求宣告该当事人无民事行为能力或者限制民事行为能力的，应由利害关系人或者有关组织向人民法院提出申请，由受诉人民法院按照特别程序立案审理，原诉讼中止。”</w:t>
      </w:r>
    </w:p>
    <w:p w14:paraId="52E85777"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十三、将第三百五十三条改为第三百五十一条，修改为：“申请司法确认调解协议的，双方当事人应当本人或者由符合民事诉讼法第六十一条规定的代理人依照民事诉讼法第二百零一条的规定提出申请。”</w:t>
      </w:r>
    </w:p>
    <w:p w14:paraId="367043C7"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十四、将第三百五十四条改为第三百五十二条，修改为：“调解组织自行开展的调解，有两个以上调解组织参与的，符合民事诉讼法第二百零一条规定的各调解组织所在地人民法院均有管辖权。</w:t>
      </w:r>
    </w:p>
    <w:p w14:paraId="0BE4F114"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“双方当事人可以共同向符合民事诉讼法第二百零一条规定的其中一个有管辖权的人民法院提出申请；双方当事人共同向两个以上有管辖权的人民法院提出申请的，由最先立案的人民法院管辖。”</w:t>
      </w:r>
    </w:p>
    <w:p w14:paraId="69014030"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十五、条文中引用民事诉讼法相关条文序号根据修改后的民事诉讼法作相应调整。</w:t>
      </w:r>
    </w:p>
    <w:p w14:paraId="70086CEB"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十六、条文顺序作相应调整。</w:t>
      </w:r>
    </w:p>
    <w:p w14:paraId="0E475A67"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t xml:space="preserve">　　本决定自2022年4月10日起施行。</w:t>
      </w:r>
    </w:p>
    <w:p w14:paraId="6263CB9A" w14:textId="77777777" w:rsidR="007765EA" w:rsidRPr="007765EA" w:rsidRDefault="007765EA" w:rsidP="007765EA">
      <w:pPr>
        <w:widowControl/>
        <w:shd w:val="clear" w:color="auto" w:fill="FFFFFF"/>
        <w:spacing w:line="480" w:lineRule="auto"/>
        <w:rPr>
          <w:rFonts w:ascii="宋体" w:eastAsia="宋体" w:hAnsi="宋体" w:cs="宋体" w:hint="eastAsia"/>
          <w:color w:val="333333"/>
          <w:kern w:val="0"/>
          <w:sz w:val="27"/>
          <w:szCs w:val="27"/>
        </w:rPr>
      </w:pPr>
      <w:r w:rsidRPr="007765EA">
        <w:rPr>
          <w:rFonts w:ascii="宋体" w:eastAsia="宋体" w:hAnsi="宋体" w:cs="宋体" w:hint="eastAsia"/>
          <w:color w:val="333333"/>
          <w:kern w:val="0"/>
          <w:sz w:val="27"/>
          <w:szCs w:val="27"/>
        </w:rPr>
        <w:lastRenderedPageBreak/>
        <w:t xml:space="preserve">　　根据本决定，《最高人民法院关于适用〈中华人民共和国民事诉讼法〉的解释》作相应修改后重新公布。</w:t>
      </w:r>
    </w:p>
    <w:p w14:paraId="13049912" w14:textId="77777777" w:rsidR="00A3291E" w:rsidRPr="007765EA" w:rsidRDefault="00A3291E"/>
    <w:sectPr w:rsidR="00A3291E" w:rsidRPr="007765EA" w:rsidSect="007765EA">
      <w:pgSz w:w="11906" w:h="16838"/>
      <w:pgMar w:top="1021" w:right="1247" w:bottom="102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font-size:18px;">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A3F03"/>
    <w:multiLevelType w:val="multilevel"/>
    <w:tmpl w:val="2CF412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9D6D33"/>
    <w:multiLevelType w:val="multilevel"/>
    <w:tmpl w:val="15F4B8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96660003">
    <w:abstractNumId w:val="0"/>
  </w:num>
  <w:num w:numId="2" w16cid:durableId="154733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EA"/>
    <w:rsid w:val="007765EA"/>
    <w:rsid w:val="00A32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3AC6"/>
  <w15:chartTrackingRefBased/>
  <w15:docId w15:val="{8365CE82-2854-4D7B-965F-4D852A83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
    <w:name w:val="fl"/>
    <w:basedOn w:val="a"/>
    <w:rsid w:val="007765EA"/>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7765EA"/>
    <w:rPr>
      <w:color w:val="0000FF"/>
      <w:u w:val="single"/>
    </w:rPr>
  </w:style>
  <w:style w:type="paragraph" w:styleId="a4">
    <w:name w:val="Normal (Web)"/>
    <w:basedOn w:val="a"/>
    <w:uiPriority w:val="99"/>
    <w:semiHidden/>
    <w:unhideWhenUsed/>
    <w:rsid w:val="007765E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372916734">
          <w:marLeft w:val="0"/>
          <w:marRight w:val="0"/>
          <w:marTop w:val="300"/>
          <w:marBottom w:val="450"/>
          <w:divBdr>
            <w:top w:val="none" w:sz="0" w:space="0" w:color="auto"/>
            <w:left w:val="none" w:sz="0" w:space="0" w:color="auto"/>
            <w:bottom w:val="single" w:sz="6" w:space="0" w:color="D7D7D7"/>
            <w:right w:val="none" w:sz="0" w:space="0" w:color="auto"/>
          </w:divBdr>
        </w:div>
        <w:div w:id="197935185">
          <w:marLeft w:val="0"/>
          <w:marRight w:val="0"/>
          <w:marTop w:val="0"/>
          <w:marBottom w:val="0"/>
          <w:divBdr>
            <w:top w:val="none" w:sz="0" w:space="0" w:color="auto"/>
            <w:left w:val="none" w:sz="0" w:space="0" w:color="auto"/>
            <w:bottom w:val="single" w:sz="6" w:space="0" w:color="D7D7D7"/>
            <w:right w:val="none" w:sz="0" w:space="0" w:color="auto"/>
          </w:divBdr>
          <w:divsChild>
            <w:div w:id="5811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urt.gov.cn/fabu-xiangqing-353741.html" TargetMode="External"/><Relationship Id="rId5" Type="http://schemas.openxmlformats.org/officeDocument/2006/relationships/hyperlink" Target="https://www.court.gov.cn/fabu-xiangqing-35374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dc:creator>
  <cp:keywords/>
  <dc:description/>
  <cp:lastModifiedBy>MORA</cp:lastModifiedBy>
  <cp:revision>1</cp:revision>
  <dcterms:created xsi:type="dcterms:W3CDTF">2022-04-08T02:14:00Z</dcterms:created>
  <dcterms:modified xsi:type="dcterms:W3CDTF">2022-04-08T02:15:00Z</dcterms:modified>
</cp:coreProperties>
</file>